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2922F3" w14:textId="77777777" w:rsidR="00A73ACF" w:rsidRDefault="00A73ACF" w:rsidP="00A73ACF">
      <w:pPr>
        <w:spacing w:line="480" w:lineRule="auto"/>
        <w:ind w:left="1440" w:firstLine="720"/>
        <w:contextualSpacing/>
        <w:rPr>
          <w:rFonts w:ascii="Times New Roman" w:hAnsi="Times New Roman" w:cs="Times New Roman"/>
          <w:b/>
          <w:bCs/>
          <w:sz w:val="24"/>
          <w:szCs w:val="24"/>
        </w:rPr>
      </w:pPr>
    </w:p>
    <w:p w14:paraId="4041EC81" w14:textId="77777777" w:rsidR="00A73ACF" w:rsidRDefault="00E15235" w:rsidP="00A73ACF">
      <w:pPr>
        <w:spacing w:line="480" w:lineRule="auto"/>
        <w:ind w:left="1440" w:firstLine="720"/>
        <w:contextualSpacing/>
        <w:rPr>
          <w:rFonts w:ascii="Times New Roman" w:hAnsi="Times New Roman" w:cs="Times New Roman"/>
          <w:b/>
          <w:bCs/>
          <w:sz w:val="24"/>
          <w:szCs w:val="24"/>
        </w:rPr>
      </w:pPr>
      <w:r w:rsidRPr="00A73ACF">
        <w:rPr>
          <w:rFonts w:ascii="Times New Roman" w:hAnsi="Times New Roman" w:cs="Times New Roman"/>
          <w:b/>
          <w:bCs/>
          <w:sz w:val="24"/>
          <w:szCs w:val="24"/>
        </w:rPr>
        <w:t>Resource and Capabilities of the Green House</w:t>
      </w:r>
    </w:p>
    <w:p w14:paraId="3C1AF232" w14:textId="77777777" w:rsidR="00A73ACF" w:rsidRDefault="00A73ACF" w:rsidP="00A73ACF">
      <w:pPr>
        <w:spacing w:line="480" w:lineRule="auto"/>
        <w:ind w:left="1440" w:firstLine="720"/>
        <w:contextualSpacing/>
        <w:rPr>
          <w:rFonts w:ascii="Times New Roman" w:hAnsi="Times New Roman" w:cs="Times New Roman"/>
          <w:b/>
          <w:bCs/>
          <w:sz w:val="24"/>
          <w:szCs w:val="24"/>
        </w:rPr>
      </w:pPr>
    </w:p>
    <w:p w14:paraId="70CA4021" w14:textId="77777777" w:rsidR="00A73ACF" w:rsidRDefault="00A73ACF" w:rsidP="00A73ACF">
      <w:pPr>
        <w:spacing w:line="480" w:lineRule="auto"/>
        <w:ind w:left="1440" w:firstLine="720"/>
        <w:contextualSpacing/>
        <w:rPr>
          <w:rFonts w:ascii="Times New Roman" w:hAnsi="Times New Roman" w:cs="Times New Roman"/>
          <w:b/>
          <w:bCs/>
          <w:sz w:val="24"/>
          <w:szCs w:val="24"/>
        </w:rPr>
      </w:pPr>
    </w:p>
    <w:p w14:paraId="1A0B1545" w14:textId="77777777" w:rsidR="00A73ACF" w:rsidRDefault="00A73ACF" w:rsidP="00A73ACF">
      <w:pPr>
        <w:spacing w:line="480" w:lineRule="auto"/>
        <w:ind w:left="1440" w:firstLine="720"/>
        <w:contextualSpacing/>
        <w:rPr>
          <w:rFonts w:ascii="Times New Roman" w:hAnsi="Times New Roman" w:cs="Times New Roman"/>
          <w:b/>
          <w:bCs/>
          <w:sz w:val="24"/>
          <w:szCs w:val="24"/>
        </w:rPr>
      </w:pPr>
    </w:p>
    <w:p w14:paraId="363BC578" w14:textId="77777777" w:rsidR="00A73ACF" w:rsidRDefault="00A73ACF" w:rsidP="00A73ACF">
      <w:pPr>
        <w:spacing w:line="480" w:lineRule="auto"/>
        <w:ind w:left="1440" w:firstLine="720"/>
        <w:contextualSpacing/>
        <w:rPr>
          <w:rFonts w:ascii="Times New Roman" w:hAnsi="Times New Roman" w:cs="Times New Roman"/>
          <w:b/>
          <w:bCs/>
          <w:sz w:val="24"/>
          <w:szCs w:val="24"/>
        </w:rPr>
      </w:pPr>
    </w:p>
    <w:p w14:paraId="2E13586C" w14:textId="77777777" w:rsidR="00A73ACF" w:rsidRDefault="00A73ACF" w:rsidP="00A73ACF">
      <w:pPr>
        <w:spacing w:line="480" w:lineRule="auto"/>
        <w:ind w:left="1440" w:firstLine="720"/>
        <w:contextualSpacing/>
        <w:rPr>
          <w:rFonts w:ascii="Times New Roman" w:hAnsi="Times New Roman" w:cs="Times New Roman"/>
          <w:b/>
          <w:bCs/>
          <w:sz w:val="24"/>
          <w:szCs w:val="24"/>
        </w:rPr>
      </w:pPr>
    </w:p>
    <w:p w14:paraId="3733FA2E" w14:textId="77777777" w:rsidR="00A73ACF" w:rsidRDefault="00A73ACF" w:rsidP="00A73ACF">
      <w:pPr>
        <w:spacing w:line="480" w:lineRule="auto"/>
        <w:ind w:left="1440" w:firstLine="720"/>
        <w:contextualSpacing/>
        <w:rPr>
          <w:rFonts w:ascii="Times New Roman" w:hAnsi="Times New Roman" w:cs="Times New Roman"/>
          <w:b/>
          <w:bCs/>
          <w:sz w:val="24"/>
          <w:szCs w:val="24"/>
        </w:rPr>
      </w:pPr>
    </w:p>
    <w:p w14:paraId="60119378" w14:textId="77777777" w:rsidR="00A73ACF" w:rsidRDefault="00E15235" w:rsidP="00A73ACF">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(Student’s Name)</w:t>
      </w:r>
    </w:p>
    <w:p w14:paraId="1D535DDA" w14:textId="77777777" w:rsidR="00A73ACF" w:rsidRDefault="00E15235" w:rsidP="00A73ACF">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22444652" w14:textId="77777777" w:rsidR="00A73ACF" w:rsidRDefault="00E15235" w:rsidP="00A73ACF">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304A6E43" w14:textId="77777777" w:rsidR="00A73ACF" w:rsidRPr="00A73ACF" w:rsidRDefault="00E15235" w:rsidP="00A73ACF">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558EEC6D" w14:textId="77777777" w:rsidR="00A73ACF" w:rsidRDefault="00A73ACF" w:rsidP="00A73ACF">
      <w:pPr>
        <w:spacing w:line="480" w:lineRule="auto"/>
        <w:ind w:left="1440" w:firstLine="720"/>
        <w:contextualSpacing/>
        <w:rPr>
          <w:rFonts w:ascii="Times New Roman" w:hAnsi="Times New Roman" w:cs="Times New Roman"/>
          <w:b/>
          <w:bCs/>
          <w:sz w:val="24"/>
          <w:szCs w:val="24"/>
        </w:rPr>
      </w:pPr>
    </w:p>
    <w:p w14:paraId="0FF6CFEC" w14:textId="52CD3CC1" w:rsidR="00A73ACF" w:rsidRDefault="00E15235">
      <w:pPr>
        <w:rPr>
          <w:rFonts w:ascii="Times New Roman" w:hAnsi="Times New Roman" w:cs="Times New Roman"/>
          <w:b/>
          <w:bCs/>
          <w:sz w:val="24"/>
          <w:szCs w:val="24"/>
        </w:rPr>
      </w:pPr>
      <w:r>
        <w:rPr>
          <w:rFonts w:ascii="Times New Roman" w:hAnsi="Times New Roman" w:cs="Times New Roman"/>
          <w:b/>
          <w:bCs/>
          <w:sz w:val="24"/>
          <w:szCs w:val="24"/>
        </w:rPr>
        <w:br w:type="page"/>
      </w:r>
    </w:p>
    <w:p w14:paraId="26A0A822" w14:textId="034FEA87" w:rsidR="00A73ACF" w:rsidRDefault="00E15235" w:rsidP="00A73ACF">
      <w:pPr>
        <w:spacing w:line="480" w:lineRule="auto"/>
        <w:ind w:left="1440" w:firstLine="720"/>
        <w:contextualSpacing/>
        <w:rPr>
          <w:rFonts w:ascii="Times New Roman" w:hAnsi="Times New Roman" w:cs="Times New Roman"/>
          <w:sz w:val="24"/>
          <w:szCs w:val="24"/>
        </w:rPr>
      </w:pPr>
      <w:r w:rsidRPr="00A73ACF">
        <w:rPr>
          <w:rFonts w:ascii="Times New Roman" w:hAnsi="Times New Roman" w:cs="Times New Roman"/>
          <w:sz w:val="24"/>
          <w:szCs w:val="24"/>
        </w:rPr>
        <w:lastRenderedPageBreak/>
        <w:t>Resource and Capabilities of the Green House</w:t>
      </w:r>
    </w:p>
    <w:p w14:paraId="2BE4E2CF" w14:textId="564AEB8E" w:rsidR="00A73ACF" w:rsidRDefault="00E15235" w:rsidP="00A73ACF">
      <w:pPr>
        <w:spacing w:line="480" w:lineRule="auto"/>
        <w:ind w:left="2880" w:firstLine="720"/>
        <w:contextualSpacing/>
        <w:rPr>
          <w:rFonts w:ascii="Times New Roman" w:hAnsi="Times New Roman" w:cs="Times New Roman"/>
          <w:b/>
          <w:bCs/>
          <w:sz w:val="24"/>
          <w:szCs w:val="24"/>
        </w:rPr>
      </w:pPr>
      <w:r w:rsidRPr="00A73ACF">
        <w:rPr>
          <w:rFonts w:ascii="Times New Roman" w:hAnsi="Times New Roman" w:cs="Times New Roman"/>
          <w:b/>
          <w:bCs/>
          <w:sz w:val="24"/>
          <w:szCs w:val="24"/>
        </w:rPr>
        <w:t>Introduction</w:t>
      </w:r>
    </w:p>
    <w:p w14:paraId="662C664C" w14:textId="77777777" w:rsidR="009033B2" w:rsidRDefault="00E15235" w:rsidP="00436204">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strategic concept for SME has to be flexible. This will help the firm be able to avoid external and internal threats and also to take a</w:t>
      </w:r>
      <w:r w:rsidR="005F1ED0">
        <w:rPr>
          <w:rFonts w:ascii="Times New Roman" w:hAnsi="Times New Roman" w:cs="Times New Roman"/>
          <w:sz w:val="24"/>
          <w:szCs w:val="24"/>
        </w:rPr>
        <w:t>dvantage of the upcoming opportunities. Strategic management is considered as a rational process. The reason why it is regarded as such is that the senior management after identifying the course of action in the firm later identifies</w:t>
      </w:r>
      <w:r>
        <w:rPr>
          <w:rFonts w:ascii="Times New Roman" w:hAnsi="Times New Roman" w:cs="Times New Roman"/>
          <w:sz w:val="24"/>
          <w:szCs w:val="24"/>
        </w:rPr>
        <w:t xml:space="preserve"> dynamic and complex environmental forces. Traditionally it is considered as utilization of resources, size, internalizing issues of fit and con</w:t>
      </w:r>
      <w:r>
        <w:rPr>
          <w:rFonts w:ascii="Times New Roman" w:hAnsi="Times New Roman" w:cs="Times New Roman"/>
          <w:sz w:val="24"/>
          <w:szCs w:val="24"/>
        </w:rPr>
        <w:t xml:space="preserve">trol and also achieving dominant positions </w:t>
      </w:r>
    </w:p>
    <w:p w14:paraId="133B96C2" w14:textId="3EC85341" w:rsidR="00A73ACF" w:rsidRDefault="00E15235" w:rsidP="009033B2">
      <w:pPr>
        <w:spacing w:line="480" w:lineRule="auto"/>
        <w:ind w:left="1440" w:firstLine="720"/>
        <w:contextualSpacing/>
        <w:rPr>
          <w:rFonts w:ascii="Times New Roman" w:hAnsi="Times New Roman" w:cs="Times New Roman"/>
          <w:b/>
          <w:bCs/>
          <w:sz w:val="24"/>
          <w:szCs w:val="24"/>
        </w:rPr>
      </w:pPr>
      <w:r w:rsidRPr="009033B2">
        <w:rPr>
          <w:rFonts w:ascii="Times New Roman" w:hAnsi="Times New Roman" w:cs="Times New Roman"/>
          <w:b/>
          <w:bCs/>
          <w:sz w:val="24"/>
          <w:szCs w:val="24"/>
        </w:rPr>
        <w:t xml:space="preserve"> Firm’s internal and external Position.</w:t>
      </w:r>
    </w:p>
    <w:p w14:paraId="1D061848" w14:textId="77777777" w:rsidR="00436204" w:rsidRDefault="00E15235" w:rsidP="00436204">
      <w:pPr>
        <w:spacing w:line="480" w:lineRule="auto"/>
        <w:ind w:firstLine="720"/>
        <w:contextualSpacing/>
        <w:jc w:val="both"/>
        <w:rPr>
          <w:rFonts w:ascii="Times New Roman" w:hAnsi="Times New Roman" w:cs="Times New Roman"/>
          <w:sz w:val="24"/>
          <w:szCs w:val="24"/>
        </w:rPr>
      </w:pPr>
      <w:r w:rsidRPr="009033B2">
        <w:rPr>
          <w:rFonts w:ascii="Times New Roman" w:hAnsi="Times New Roman" w:cs="Times New Roman"/>
          <w:sz w:val="24"/>
          <w:szCs w:val="24"/>
        </w:rPr>
        <w:t xml:space="preserve">The </w:t>
      </w:r>
      <w:r>
        <w:rPr>
          <w:rFonts w:ascii="Times New Roman" w:hAnsi="Times New Roman" w:cs="Times New Roman"/>
          <w:sz w:val="24"/>
          <w:szCs w:val="24"/>
        </w:rPr>
        <w:t>internal positioning or operations of a firm are critical and should be considered because they help the firm to determine the weaknesses and strengths in its operation</w:t>
      </w:r>
      <w:r>
        <w:rPr>
          <w:rFonts w:ascii="Times New Roman" w:hAnsi="Times New Roman" w:cs="Times New Roman"/>
          <w:sz w:val="24"/>
          <w:szCs w:val="24"/>
        </w:rPr>
        <w:t>s.  This strength allows the firm to take advantage of available opportunities in the environment. The firm’s weakness limits the strategies which are available to the firm, and they also represent potential threats that the firm can incur.</w:t>
      </w:r>
      <w:r w:rsidR="003B7851">
        <w:rPr>
          <w:rFonts w:ascii="Times New Roman" w:hAnsi="Times New Roman" w:cs="Times New Roman"/>
          <w:sz w:val="24"/>
          <w:szCs w:val="24"/>
        </w:rPr>
        <w:t xml:space="preserve"> The internal analysis of the firm is concerned with the evaluation of all aspects of the organization by itself. </w:t>
      </w:r>
    </w:p>
    <w:p w14:paraId="2412131E" w14:textId="77777777" w:rsidR="00436204" w:rsidRDefault="00E15235" w:rsidP="00436204">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The external analysis of the firm, unlike the internal analysis, does not necessarily consider the organization itself. Instead, it is more about the organization business environment which include its competitors in the market. The external Position of th</w:t>
      </w:r>
      <w:r>
        <w:rPr>
          <w:rFonts w:ascii="Times New Roman" w:hAnsi="Times New Roman" w:cs="Times New Roman"/>
          <w:sz w:val="24"/>
          <w:szCs w:val="24"/>
        </w:rPr>
        <w:t xml:space="preserve">e firm may include the new competitors entering the industry and the market, the regulatory frameworks which are set by the government </w:t>
      </w:r>
      <w:r w:rsidR="000A4192">
        <w:rPr>
          <w:rFonts w:ascii="Times New Roman" w:hAnsi="Times New Roman" w:cs="Times New Roman"/>
          <w:sz w:val="24"/>
          <w:szCs w:val="24"/>
        </w:rPr>
        <w:t>and also the cost of the materials.  The above examples are variables regarding the firm's Position are out of control, and the firm should consider them broadly as apart of external analysis. In the context of strategic management, external factors are critical.</w:t>
      </w:r>
    </w:p>
    <w:p w14:paraId="262EBFE1" w14:textId="0DDE4BE4" w:rsidR="00436204" w:rsidRDefault="00E15235" w:rsidP="0043620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They help to evaluate the firm’s resources and goals and more so the need to look at the surrounding business environment. In the modern world in it not only good to look at the internal </w:t>
      </w:r>
      <w:r>
        <w:rPr>
          <w:rFonts w:ascii="Times New Roman" w:hAnsi="Times New Roman" w:cs="Times New Roman"/>
          <w:sz w:val="24"/>
          <w:szCs w:val="24"/>
        </w:rPr>
        <w:lastRenderedPageBreak/>
        <w:t xml:space="preserve">analysis but also consider the external positions of the firm. This </w:t>
      </w:r>
      <w:r>
        <w:rPr>
          <w:rFonts w:ascii="Times New Roman" w:hAnsi="Times New Roman" w:cs="Times New Roman"/>
          <w:sz w:val="24"/>
          <w:szCs w:val="24"/>
        </w:rPr>
        <w:t>will help the firm to develop in the market competition in the future. According to ( Novikov, 2018), there is strategic analysis in high-technology development in manufacturing facilities. This can significantly affect the firm's future competitive advant</w:t>
      </w:r>
      <w:r>
        <w:rPr>
          <w:rFonts w:ascii="Times New Roman" w:hAnsi="Times New Roman" w:cs="Times New Roman"/>
          <w:sz w:val="24"/>
          <w:szCs w:val="24"/>
        </w:rPr>
        <w:t>age.</w:t>
      </w:r>
    </w:p>
    <w:p w14:paraId="04E6C2A8" w14:textId="77777777" w:rsidR="00436204" w:rsidRDefault="00E15235">
      <w:pPr>
        <w:rPr>
          <w:rFonts w:ascii="Times New Roman" w:hAnsi="Times New Roman" w:cs="Times New Roman"/>
          <w:sz w:val="24"/>
          <w:szCs w:val="24"/>
        </w:rPr>
      </w:pPr>
      <w:r>
        <w:rPr>
          <w:rFonts w:ascii="Times New Roman" w:hAnsi="Times New Roman" w:cs="Times New Roman"/>
          <w:sz w:val="24"/>
          <w:szCs w:val="24"/>
        </w:rPr>
        <w:br w:type="page"/>
      </w:r>
    </w:p>
    <w:p w14:paraId="3DAB9355" w14:textId="57E95A55" w:rsidR="009033B2" w:rsidRDefault="00E15235" w:rsidP="00436204">
      <w:pPr>
        <w:spacing w:line="480" w:lineRule="auto"/>
        <w:ind w:left="2880" w:firstLine="720"/>
        <w:contextualSpacing/>
        <w:rPr>
          <w:rFonts w:ascii="Times New Roman" w:hAnsi="Times New Roman" w:cs="Times New Roman"/>
          <w:b/>
          <w:bCs/>
          <w:sz w:val="24"/>
          <w:szCs w:val="24"/>
        </w:rPr>
      </w:pPr>
      <w:r w:rsidRPr="00436204">
        <w:rPr>
          <w:rFonts w:ascii="Times New Roman" w:hAnsi="Times New Roman" w:cs="Times New Roman"/>
          <w:b/>
          <w:bCs/>
          <w:sz w:val="24"/>
          <w:szCs w:val="24"/>
        </w:rPr>
        <w:lastRenderedPageBreak/>
        <w:t>References</w:t>
      </w:r>
    </w:p>
    <w:p w14:paraId="2E3B5C33" w14:textId="597F88C3" w:rsidR="00436204" w:rsidRPr="00436204" w:rsidRDefault="00E15235" w:rsidP="00436204">
      <w:pPr>
        <w:spacing w:line="480" w:lineRule="auto"/>
        <w:contextualSpacing/>
        <w:rPr>
          <w:rFonts w:ascii="Times New Roman" w:hAnsi="Times New Roman" w:cs="Times New Roman"/>
          <w:sz w:val="24"/>
          <w:szCs w:val="24"/>
        </w:rPr>
      </w:pPr>
      <w:r w:rsidRPr="00436204">
        <w:rPr>
          <w:rFonts w:ascii="Times New Roman" w:hAnsi="Times New Roman" w:cs="Times New Roman"/>
          <w:sz w:val="24"/>
          <w:szCs w:val="24"/>
        </w:rPr>
        <w:t>Novikov, S. V. (2018). Strategic analysis of the development of high-technology manufacturing</w:t>
      </w:r>
      <w:r>
        <w:rPr>
          <w:rFonts w:ascii="Times New Roman" w:hAnsi="Times New Roman" w:cs="Times New Roman"/>
          <w:sz w:val="24"/>
          <w:szCs w:val="24"/>
        </w:rPr>
        <w:tab/>
      </w:r>
      <w:r w:rsidRPr="00436204">
        <w:rPr>
          <w:rFonts w:ascii="Times New Roman" w:hAnsi="Times New Roman" w:cs="Times New Roman"/>
          <w:sz w:val="24"/>
          <w:szCs w:val="24"/>
        </w:rPr>
        <w:t>facilities. Russian Engineering Research, 38(3), 198-200</w:t>
      </w:r>
      <w:r>
        <w:rPr>
          <w:rFonts w:ascii="Times New Roman" w:hAnsi="Times New Roman" w:cs="Times New Roman"/>
          <w:sz w:val="24"/>
          <w:szCs w:val="24"/>
        </w:rPr>
        <w:t>.</w:t>
      </w:r>
    </w:p>
    <w:sectPr w:rsidR="00436204" w:rsidRPr="00436204" w:rsidSect="00A73A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07936B" w14:textId="77777777" w:rsidR="00000000" w:rsidRDefault="00E15235">
      <w:pPr>
        <w:spacing w:after="0" w:line="240" w:lineRule="auto"/>
      </w:pPr>
      <w:r>
        <w:separator/>
      </w:r>
    </w:p>
  </w:endnote>
  <w:endnote w:type="continuationSeparator" w:id="0">
    <w:p w14:paraId="76F67A38" w14:textId="77777777" w:rsidR="00000000" w:rsidRDefault="00E15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4ED72C" w14:textId="77777777" w:rsidR="00000000" w:rsidRDefault="00E15235">
      <w:pPr>
        <w:spacing w:after="0" w:line="240" w:lineRule="auto"/>
      </w:pPr>
      <w:r>
        <w:separator/>
      </w:r>
    </w:p>
  </w:footnote>
  <w:footnote w:type="continuationSeparator" w:id="0">
    <w:p w14:paraId="6257109B" w14:textId="77777777" w:rsidR="00000000" w:rsidRDefault="00E152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9566867"/>
      <w:docPartObj>
        <w:docPartGallery w:val="Page Numbers (Top of Page)"/>
        <w:docPartUnique/>
      </w:docPartObj>
    </w:sdtPr>
    <w:sdtEndPr>
      <w:rPr>
        <w:noProof/>
      </w:rPr>
    </w:sdtEndPr>
    <w:sdtContent>
      <w:p w14:paraId="6571843C" w14:textId="62A8FAC7" w:rsidR="00871EF1" w:rsidRDefault="00E15235" w:rsidP="00A73ACF">
        <w:pPr>
          <w:pStyle w:val="Header"/>
          <w:jc w:val="center"/>
        </w:pPr>
        <w:r>
          <w:t xml:space="preserve"> CAPABILITIES OF A GREENHOUSE</w:t>
        </w:r>
        <w:r>
          <w:tab/>
        </w:r>
        <w:r>
          <w:tab/>
        </w:r>
        <w:r>
          <w:fldChar w:fldCharType="begin"/>
        </w:r>
        <w:r>
          <w:instrText xml:space="preserve"> PAGE   \* MERGEFORMAT </w:instrText>
        </w:r>
        <w:r>
          <w:fldChar w:fldCharType="separate"/>
        </w:r>
        <w:r>
          <w:rPr>
            <w:noProof/>
          </w:rPr>
          <w:t>2</w:t>
        </w:r>
        <w:r>
          <w:rPr>
            <w:noProof/>
          </w:rPr>
          <w:fldChar w:fldCharType="end"/>
        </w:r>
      </w:p>
    </w:sdtContent>
  </w:sdt>
  <w:p w14:paraId="15A563E3" w14:textId="77777777" w:rsidR="00871EF1" w:rsidRDefault="00871E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4003360"/>
      <w:docPartObj>
        <w:docPartGallery w:val="Page Numbers (Top of Page)"/>
        <w:docPartUnique/>
      </w:docPartObj>
    </w:sdtPr>
    <w:sdtEndPr>
      <w:rPr>
        <w:noProof/>
      </w:rPr>
    </w:sdtEndPr>
    <w:sdtContent>
      <w:p w14:paraId="33D3384C" w14:textId="0428A5F0" w:rsidR="00A73ACF" w:rsidRDefault="00E15235">
        <w:pPr>
          <w:pStyle w:val="Header"/>
          <w:jc w:val="right"/>
        </w:pPr>
        <w:r>
          <w:t>Runnin</w:t>
        </w:r>
        <w:r>
          <w:t>g head:</w:t>
        </w:r>
        <w:r w:rsidRPr="00A73ACF">
          <w:t xml:space="preserve"> </w:t>
        </w:r>
        <w:r>
          <w:t>CAPABILITIES OF A GREENHOUSE</w:t>
        </w:r>
        <w:r>
          <w:tab/>
        </w:r>
        <w:r>
          <w:tab/>
          <w:t xml:space="preserve"> </w:t>
        </w:r>
        <w:r>
          <w:fldChar w:fldCharType="begin"/>
        </w:r>
        <w:r>
          <w:instrText xml:space="preserve"> PAGE   \* MERGEFORMAT </w:instrText>
        </w:r>
        <w:r>
          <w:fldChar w:fldCharType="separate"/>
        </w:r>
        <w:r>
          <w:rPr>
            <w:noProof/>
          </w:rPr>
          <w:t>2</w:t>
        </w:r>
        <w:r>
          <w:rPr>
            <w:noProof/>
          </w:rPr>
          <w:fldChar w:fldCharType="end"/>
        </w:r>
      </w:p>
    </w:sdtContent>
  </w:sdt>
  <w:p w14:paraId="767D7D11" w14:textId="77777777" w:rsidR="00A73ACF" w:rsidRDefault="00A73A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EF1"/>
    <w:rsid w:val="000A4192"/>
    <w:rsid w:val="003B7851"/>
    <w:rsid w:val="00436204"/>
    <w:rsid w:val="005667E6"/>
    <w:rsid w:val="005F1ED0"/>
    <w:rsid w:val="00871EF1"/>
    <w:rsid w:val="009033B2"/>
    <w:rsid w:val="00A73ACF"/>
    <w:rsid w:val="00E15235"/>
    <w:rsid w:val="00FD0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43E3DF1-15AF-4114-B780-E54EF2ACF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1E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EF1"/>
  </w:style>
  <w:style w:type="paragraph" w:styleId="Footer">
    <w:name w:val="footer"/>
    <w:basedOn w:val="Normal"/>
    <w:link w:val="FooterChar"/>
    <w:uiPriority w:val="99"/>
    <w:unhideWhenUsed/>
    <w:rsid w:val="00871E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2020-09-03T09:02:00Z</dcterms:created>
  <dcterms:modified xsi:type="dcterms:W3CDTF">2020-09-03T09:02:00Z</dcterms:modified>
</cp:coreProperties>
</file>